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Cs w:val="21"/>
        </w:rPr>
      </w:pPr>
      <w:r>
        <w:rPr>
          <w:rFonts w:hint="eastAsia"/>
          <w:b/>
          <w:bCs/>
          <w:szCs w:val="21"/>
        </w:rPr>
        <w:t>Table S1 The questionnaire of t</w:t>
      </w:r>
      <w:r>
        <w:rPr>
          <w:b/>
          <w:bCs/>
          <w:szCs w:val="21"/>
        </w:rPr>
        <w:t>he living environment</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3160"/>
        <w:gridCol w:w="1890"/>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rPr>
                <w:szCs w:val="21"/>
              </w:rPr>
            </w:pPr>
          </w:p>
        </w:tc>
        <w:tc>
          <w:tcPr>
            <w:tcW w:w="3160" w:type="dxa"/>
          </w:tcPr>
          <w:p>
            <w:pPr>
              <w:rPr>
                <w:szCs w:val="21"/>
              </w:rPr>
            </w:pPr>
            <w:r>
              <w:rPr>
                <w:szCs w:val="21"/>
              </w:rPr>
              <w:t>Level</w:t>
            </w:r>
          </w:p>
        </w:tc>
        <w:tc>
          <w:tcPr>
            <w:tcW w:w="1890" w:type="dxa"/>
          </w:tcPr>
          <w:p>
            <w:pPr>
              <w:rPr>
                <w:szCs w:val="21"/>
              </w:rPr>
            </w:pPr>
            <w:r>
              <w:rPr>
                <w:szCs w:val="21"/>
              </w:rPr>
              <w:t>Duration</w:t>
            </w:r>
          </w:p>
        </w:tc>
        <w:tc>
          <w:tcPr>
            <w:tcW w:w="1342" w:type="dxa"/>
          </w:tcPr>
          <w:p>
            <w:pPr>
              <w:rPr>
                <w:szCs w:val="21"/>
              </w:rPr>
            </w:pPr>
            <w:r>
              <w:rPr>
                <w:szCs w:val="21"/>
              </w:rPr>
              <w:t>Score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rPr>
                <w:szCs w:val="21"/>
              </w:rPr>
            </w:pPr>
            <w:r>
              <w:rPr>
                <w:szCs w:val="21"/>
              </w:rPr>
              <w:t>Cooking practices</w:t>
            </w:r>
          </w:p>
          <w:p>
            <w:pPr>
              <w:rPr>
                <w:szCs w:val="21"/>
              </w:rPr>
            </w:pPr>
          </w:p>
        </w:tc>
        <w:tc>
          <w:tcPr>
            <w:tcW w:w="3160" w:type="dxa"/>
          </w:tcPr>
          <w:p>
            <w:pPr>
              <w:rPr>
                <w:szCs w:val="21"/>
              </w:rPr>
            </w:pPr>
            <w:r>
              <w:rPr>
                <w:szCs w:val="21"/>
              </w:rPr>
              <w:t xml:space="preserve">Olive and peanut </w:t>
            </w:r>
          </w:p>
        </w:tc>
        <w:tc>
          <w:tcPr>
            <w:tcW w:w="1890" w:type="dxa"/>
          </w:tcPr>
          <w:p>
            <w:pPr>
              <w:rPr>
                <w:szCs w:val="21"/>
              </w:rPr>
            </w:pPr>
          </w:p>
        </w:tc>
        <w:tc>
          <w:tcPr>
            <w:tcW w:w="1342" w:type="dxa"/>
          </w:tcPr>
          <w:p>
            <w:pPr>
              <w:rPr>
                <w:szCs w:val="21"/>
              </w:rP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rPr>
                <w:szCs w:val="21"/>
              </w:rPr>
            </w:pPr>
          </w:p>
        </w:tc>
        <w:tc>
          <w:tcPr>
            <w:tcW w:w="3160" w:type="dxa"/>
          </w:tcPr>
          <w:p>
            <w:pPr>
              <w:rPr>
                <w:szCs w:val="21"/>
              </w:rPr>
            </w:pPr>
            <w:r>
              <w:rPr>
                <w:szCs w:val="21"/>
              </w:rPr>
              <w:t>Soybean and rapeseed</w:t>
            </w:r>
          </w:p>
        </w:tc>
        <w:tc>
          <w:tcPr>
            <w:tcW w:w="1890" w:type="dxa"/>
          </w:tcPr>
          <w:p>
            <w:pPr>
              <w:rPr>
                <w:szCs w:val="21"/>
              </w:rPr>
            </w:pPr>
            <w:r>
              <w:rPr>
                <w:szCs w:val="21"/>
              </w:rPr>
              <w:t>&lt;10 years</w:t>
            </w:r>
          </w:p>
          <w:p>
            <w:pPr>
              <w:rPr>
                <w:szCs w:val="21"/>
              </w:rPr>
            </w:pPr>
            <w:r>
              <w:rPr>
                <w:szCs w:val="21"/>
              </w:rPr>
              <w:t>10-20 years</w:t>
            </w:r>
          </w:p>
          <w:p>
            <w:pPr>
              <w:rPr>
                <w:szCs w:val="21"/>
              </w:rPr>
            </w:pPr>
            <w:r>
              <w:rPr>
                <w:szCs w:val="21"/>
              </w:rPr>
              <w:t>&gt;20years</w:t>
            </w:r>
          </w:p>
        </w:tc>
        <w:tc>
          <w:tcPr>
            <w:tcW w:w="1342" w:type="dxa"/>
          </w:tcPr>
          <w:p>
            <w:pPr>
              <w:rPr>
                <w:szCs w:val="21"/>
              </w:rPr>
            </w:pPr>
            <w:r>
              <w:rPr>
                <w:szCs w:val="21"/>
              </w:rPr>
              <w:t>0</w:t>
            </w:r>
          </w:p>
          <w:p>
            <w:pPr>
              <w:rPr>
                <w:szCs w:val="21"/>
              </w:rPr>
            </w:pPr>
            <w:r>
              <w:rPr>
                <w:szCs w:val="21"/>
              </w:rPr>
              <w:t>1</w:t>
            </w:r>
          </w:p>
          <w:p>
            <w:pPr>
              <w:rPr>
                <w:szCs w:val="21"/>
              </w:rPr>
            </w:pPr>
            <w:r>
              <w:rPr>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rPr>
                <w:szCs w:val="21"/>
              </w:rPr>
            </w:pPr>
            <w:r>
              <w:rPr>
                <w:szCs w:val="21"/>
              </w:rPr>
              <w:t>Fuel use</w:t>
            </w:r>
          </w:p>
          <w:p>
            <w:pPr>
              <w:rPr>
                <w:szCs w:val="21"/>
              </w:rPr>
            </w:pPr>
          </w:p>
        </w:tc>
        <w:tc>
          <w:tcPr>
            <w:tcW w:w="3160" w:type="dxa"/>
          </w:tcPr>
          <w:p>
            <w:pPr>
              <w:rPr>
                <w:szCs w:val="21"/>
              </w:rPr>
            </w:pPr>
            <w:r>
              <w:rPr>
                <w:szCs w:val="21"/>
              </w:rPr>
              <w:t xml:space="preserve">Gas and coal </w:t>
            </w:r>
          </w:p>
        </w:tc>
        <w:tc>
          <w:tcPr>
            <w:tcW w:w="1890" w:type="dxa"/>
          </w:tcPr>
          <w:p>
            <w:pPr>
              <w:rPr>
                <w:szCs w:val="21"/>
              </w:rPr>
            </w:pPr>
            <w:r>
              <w:rPr>
                <w:szCs w:val="21"/>
              </w:rPr>
              <w:t>&lt;5 years</w:t>
            </w:r>
          </w:p>
          <w:p>
            <w:pPr>
              <w:rPr>
                <w:szCs w:val="21"/>
              </w:rPr>
            </w:pPr>
            <w:r>
              <w:rPr>
                <w:szCs w:val="21"/>
              </w:rPr>
              <w:t>5-10 years</w:t>
            </w:r>
          </w:p>
          <w:p>
            <w:pPr>
              <w:rPr>
                <w:szCs w:val="21"/>
              </w:rPr>
            </w:pPr>
            <w:r>
              <w:rPr>
                <w:szCs w:val="21"/>
              </w:rPr>
              <w:t>&gt;10years</w:t>
            </w:r>
          </w:p>
        </w:tc>
        <w:tc>
          <w:tcPr>
            <w:tcW w:w="1342" w:type="dxa"/>
          </w:tcPr>
          <w:p>
            <w:pPr>
              <w:rPr>
                <w:szCs w:val="21"/>
              </w:rPr>
            </w:pPr>
            <w:r>
              <w:rPr>
                <w:szCs w:val="21"/>
              </w:rPr>
              <w:t>0</w:t>
            </w:r>
          </w:p>
          <w:p>
            <w:pPr>
              <w:rPr>
                <w:szCs w:val="21"/>
              </w:rPr>
            </w:pPr>
            <w:r>
              <w:rPr>
                <w:szCs w:val="21"/>
              </w:rPr>
              <w:t>1</w:t>
            </w:r>
          </w:p>
          <w:p>
            <w:pPr>
              <w:rPr>
                <w:szCs w:val="21"/>
              </w:rPr>
            </w:pPr>
            <w:r>
              <w:rPr>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rPr>
                <w:szCs w:val="21"/>
              </w:rPr>
            </w:pPr>
          </w:p>
        </w:tc>
        <w:tc>
          <w:tcPr>
            <w:tcW w:w="3160" w:type="dxa"/>
          </w:tcPr>
          <w:p>
            <w:pPr>
              <w:rPr>
                <w:szCs w:val="21"/>
              </w:rPr>
            </w:pPr>
            <w:r>
              <w:rPr>
                <w:szCs w:val="21"/>
              </w:rPr>
              <w:t>Other</w:t>
            </w:r>
          </w:p>
        </w:tc>
        <w:tc>
          <w:tcPr>
            <w:tcW w:w="1890" w:type="dxa"/>
          </w:tcPr>
          <w:p>
            <w:pPr>
              <w:rPr>
                <w:szCs w:val="21"/>
              </w:rPr>
            </w:pPr>
          </w:p>
        </w:tc>
        <w:tc>
          <w:tcPr>
            <w:tcW w:w="1342" w:type="dxa"/>
          </w:tcPr>
          <w:p>
            <w:pPr>
              <w:rPr>
                <w:szCs w:val="21"/>
              </w:rP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rPr>
                <w:szCs w:val="21"/>
              </w:rPr>
            </w:pPr>
            <w:r>
              <w:rPr>
                <w:szCs w:val="21"/>
              </w:rPr>
              <w:t>Housing characteristics(kitchen ventilation)</w:t>
            </w:r>
          </w:p>
          <w:p>
            <w:pPr>
              <w:rPr>
                <w:szCs w:val="21"/>
              </w:rPr>
            </w:pPr>
          </w:p>
        </w:tc>
        <w:tc>
          <w:tcPr>
            <w:tcW w:w="3160" w:type="dxa"/>
          </w:tcPr>
          <w:p>
            <w:pPr>
              <w:rPr>
                <w:szCs w:val="21"/>
              </w:rPr>
            </w:pPr>
            <w:r>
              <w:rPr>
                <w:szCs w:val="21"/>
              </w:rPr>
              <w:t>Good/fairly good</w:t>
            </w:r>
          </w:p>
        </w:tc>
        <w:tc>
          <w:tcPr>
            <w:tcW w:w="1890" w:type="dxa"/>
          </w:tcPr>
          <w:p>
            <w:pPr>
              <w:rPr>
                <w:szCs w:val="21"/>
              </w:rPr>
            </w:pPr>
          </w:p>
        </w:tc>
        <w:tc>
          <w:tcPr>
            <w:tcW w:w="1342" w:type="dxa"/>
          </w:tcPr>
          <w:p>
            <w:pPr>
              <w:rPr>
                <w:szCs w:val="21"/>
              </w:rP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rPr>
                <w:szCs w:val="21"/>
              </w:rPr>
            </w:pPr>
          </w:p>
        </w:tc>
        <w:tc>
          <w:tcPr>
            <w:tcW w:w="3160" w:type="dxa"/>
          </w:tcPr>
          <w:p>
            <w:pPr>
              <w:rPr>
                <w:szCs w:val="21"/>
              </w:rPr>
            </w:pPr>
            <w:r>
              <w:rPr>
                <w:szCs w:val="21"/>
              </w:rPr>
              <w:t>Poor</w:t>
            </w:r>
          </w:p>
        </w:tc>
        <w:tc>
          <w:tcPr>
            <w:tcW w:w="1890" w:type="dxa"/>
          </w:tcPr>
          <w:p>
            <w:pPr>
              <w:rPr>
                <w:szCs w:val="21"/>
              </w:rPr>
            </w:pPr>
            <w:r>
              <w:rPr>
                <w:szCs w:val="21"/>
              </w:rPr>
              <w:t>&lt;10 years</w:t>
            </w:r>
          </w:p>
          <w:p>
            <w:pPr>
              <w:rPr>
                <w:szCs w:val="21"/>
              </w:rPr>
            </w:pPr>
            <w:r>
              <w:rPr>
                <w:szCs w:val="21"/>
              </w:rPr>
              <w:t>10-20 years</w:t>
            </w:r>
          </w:p>
          <w:p>
            <w:pPr>
              <w:rPr>
                <w:szCs w:val="21"/>
              </w:rPr>
            </w:pPr>
            <w:r>
              <w:rPr>
                <w:szCs w:val="21"/>
              </w:rPr>
              <w:t>&gt;20years</w:t>
            </w:r>
          </w:p>
        </w:tc>
        <w:tc>
          <w:tcPr>
            <w:tcW w:w="1342" w:type="dxa"/>
          </w:tcPr>
          <w:p>
            <w:pPr>
              <w:rPr>
                <w:szCs w:val="21"/>
              </w:rPr>
            </w:pPr>
            <w:r>
              <w:rPr>
                <w:szCs w:val="21"/>
              </w:rPr>
              <w:t>0</w:t>
            </w:r>
          </w:p>
          <w:p>
            <w:pPr>
              <w:rPr>
                <w:szCs w:val="21"/>
              </w:rPr>
            </w:pPr>
            <w:r>
              <w:rPr>
                <w:szCs w:val="21"/>
              </w:rPr>
              <w:t>1</w:t>
            </w:r>
          </w:p>
          <w:p>
            <w:pPr>
              <w:rPr>
                <w:szCs w:val="21"/>
              </w:rPr>
            </w:pPr>
            <w:r>
              <w:rPr>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rPr>
                <w:szCs w:val="21"/>
              </w:rPr>
            </w:pPr>
            <w:r>
              <w:rPr>
                <w:szCs w:val="21"/>
              </w:rPr>
              <w:t xml:space="preserve">Tobacco smoke exposure(Household residents smoking  or </w:t>
            </w:r>
          </w:p>
          <w:p>
            <w:pPr>
              <w:rPr>
                <w:szCs w:val="21"/>
              </w:rPr>
            </w:pPr>
            <w:r>
              <w:rPr>
                <w:szCs w:val="21"/>
              </w:rPr>
              <w:t>Co-worker smoking habits at work)</w:t>
            </w:r>
          </w:p>
        </w:tc>
        <w:tc>
          <w:tcPr>
            <w:tcW w:w="3160" w:type="dxa"/>
          </w:tcPr>
          <w:p>
            <w:pPr>
              <w:rPr>
                <w:szCs w:val="21"/>
              </w:rPr>
            </w:pPr>
            <w:r>
              <w:rPr>
                <w:szCs w:val="21"/>
              </w:rPr>
              <w:t>Never</w:t>
            </w:r>
          </w:p>
        </w:tc>
        <w:tc>
          <w:tcPr>
            <w:tcW w:w="1890" w:type="dxa"/>
          </w:tcPr>
          <w:p>
            <w:pPr>
              <w:rPr>
                <w:szCs w:val="21"/>
              </w:rPr>
            </w:pPr>
          </w:p>
        </w:tc>
        <w:tc>
          <w:tcPr>
            <w:tcW w:w="1342" w:type="dxa"/>
          </w:tcPr>
          <w:p>
            <w:pPr>
              <w:rPr>
                <w:szCs w:val="21"/>
              </w:rP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rPr>
                <w:szCs w:val="21"/>
              </w:rPr>
            </w:pPr>
          </w:p>
        </w:tc>
        <w:tc>
          <w:tcPr>
            <w:tcW w:w="3160" w:type="dxa"/>
          </w:tcPr>
          <w:p>
            <w:pPr>
              <w:rPr>
                <w:szCs w:val="21"/>
              </w:rPr>
            </w:pPr>
            <w:r>
              <w:rPr>
                <w:szCs w:val="21"/>
              </w:rPr>
              <w:t>Ever</w:t>
            </w:r>
          </w:p>
        </w:tc>
        <w:tc>
          <w:tcPr>
            <w:tcW w:w="1890" w:type="dxa"/>
          </w:tcPr>
          <w:p>
            <w:pPr>
              <w:rPr>
                <w:szCs w:val="21"/>
              </w:rPr>
            </w:pPr>
            <w:r>
              <w:rPr>
                <w:szCs w:val="21"/>
              </w:rPr>
              <w:t>&lt;5 years</w:t>
            </w:r>
          </w:p>
          <w:p>
            <w:pPr>
              <w:rPr>
                <w:szCs w:val="21"/>
              </w:rPr>
            </w:pPr>
            <w:r>
              <w:rPr>
                <w:szCs w:val="21"/>
              </w:rPr>
              <w:t>5-10 years</w:t>
            </w:r>
          </w:p>
          <w:p>
            <w:pPr>
              <w:rPr>
                <w:szCs w:val="21"/>
              </w:rPr>
            </w:pPr>
            <w:r>
              <w:rPr>
                <w:szCs w:val="21"/>
              </w:rPr>
              <w:t>&gt;10years</w:t>
            </w:r>
          </w:p>
        </w:tc>
        <w:tc>
          <w:tcPr>
            <w:tcW w:w="1342" w:type="dxa"/>
          </w:tcPr>
          <w:p>
            <w:pPr>
              <w:rPr>
                <w:szCs w:val="21"/>
              </w:rPr>
            </w:pPr>
            <w:r>
              <w:rPr>
                <w:szCs w:val="21"/>
              </w:rPr>
              <w:t>0</w:t>
            </w:r>
          </w:p>
          <w:p>
            <w:pPr>
              <w:rPr>
                <w:szCs w:val="21"/>
              </w:rPr>
            </w:pPr>
            <w:r>
              <w:rPr>
                <w:szCs w:val="21"/>
              </w:rPr>
              <w:t>1</w:t>
            </w:r>
          </w:p>
          <w:p>
            <w:pPr>
              <w:rPr>
                <w:szCs w:val="21"/>
              </w:rPr>
            </w:pPr>
            <w:r>
              <w:rPr>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rPr>
                <w:szCs w:val="21"/>
              </w:rPr>
            </w:pPr>
            <w:r>
              <w:rPr>
                <w:szCs w:val="21"/>
              </w:rPr>
              <w:t>Whether they lived in a polluted industrial zone.</w:t>
            </w:r>
          </w:p>
        </w:tc>
        <w:tc>
          <w:tcPr>
            <w:tcW w:w="3160" w:type="dxa"/>
          </w:tcPr>
          <w:p>
            <w:pPr>
              <w:rPr>
                <w:szCs w:val="21"/>
              </w:rPr>
            </w:pPr>
            <w:r>
              <w:rPr>
                <w:szCs w:val="21"/>
              </w:rPr>
              <w:t>Never</w:t>
            </w:r>
          </w:p>
        </w:tc>
        <w:tc>
          <w:tcPr>
            <w:tcW w:w="1890" w:type="dxa"/>
          </w:tcPr>
          <w:p>
            <w:pPr>
              <w:rPr>
                <w:szCs w:val="21"/>
              </w:rPr>
            </w:pPr>
          </w:p>
        </w:tc>
        <w:tc>
          <w:tcPr>
            <w:tcW w:w="1342" w:type="dxa"/>
          </w:tcPr>
          <w:p>
            <w:pPr>
              <w:rPr>
                <w:szCs w:val="21"/>
              </w:rP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rPr>
                <w:szCs w:val="21"/>
              </w:rPr>
            </w:pPr>
          </w:p>
        </w:tc>
        <w:tc>
          <w:tcPr>
            <w:tcW w:w="3160" w:type="dxa"/>
          </w:tcPr>
          <w:p>
            <w:pPr>
              <w:rPr>
                <w:szCs w:val="21"/>
              </w:rPr>
            </w:pPr>
            <w:r>
              <w:rPr>
                <w:szCs w:val="21"/>
              </w:rPr>
              <w:t>Ever</w:t>
            </w:r>
          </w:p>
        </w:tc>
        <w:tc>
          <w:tcPr>
            <w:tcW w:w="1890" w:type="dxa"/>
          </w:tcPr>
          <w:p>
            <w:pPr>
              <w:rPr>
                <w:szCs w:val="21"/>
              </w:rPr>
            </w:pPr>
            <w:r>
              <w:rPr>
                <w:szCs w:val="21"/>
              </w:rPr>
              <w:t>&lt;5 years</w:t>
            </w:r>
          </w:p>
          <w:p>
            <w:pPr>
              <w:rPr>
                <w:szCs w:val="21"/>
              </w:rPr>
            </w:pPr>
            <w:r>
              <w:rPr>
                <w:szCs w:val="21"/>
              </w:rPr>
              <w:t>5-10 years</w:t>
            </w:r>
          </w:p>
          <w:p>
            <w:pPr>
              <w:rPr>
                <w:szCs w:val="21"/>
              </w:rPr>
            </w:pPr>
            <w:r>
              <w:rPr>
                <w:szCs w:val="21"/>
              </w:rPr>
              <w:t>&gt;10years</w:t>
            </w:r>
          </w:p>
        </w:tc>
        <w:tc>
          <w:tcPr>
            <w:tcW w:w="1342" w:type="dxa"/>
          </w:tcPr>
          <w:p>
            <w:pPr>
              <w:rPr>
                <w:szCs w:val="21"/>
              </w:rPr>
            </w:pPr>
            <w:r>
              <w:rPr>
                <w:szCs w:val="21"/>
              </w:rPr>
              <w:t>0</w:t>
            </w:r>
          </w:p>
          <w:p>
            <w:pPr>
              <w:rPr>
                <w:szCs w:val="21"/>
              </w:rPr>
            </w:pPr>
            <w:r>
              <w:rPr>
                <w:szCs w:val="21"/>
              </w:rPr>
              <w:t>1</w:t>
            </w:r>
          </w:p>
          <w:p>
            <w:pPr>
              <w:rPr>
                <w:szCs w:val="21"/>
              </w:rPr>
            </w:pPr>
            <w:r>
              <w:rPr>
                <w:szCs w:val="21"/>
              </w:rPr>
              <w:t>2</w:t>
            </w:r>
          </w:p>
        </w:tc>
      </w:tr>
    </w:tbl>
    <w:p>
      <w:pPr>
        <w:rPr>
          <w:sz w:val="18"/>
          <w:szCs w:val="18"/>
        </w:rPr>
      </w:pPr>
      <w:r>
        <w:rPr>
          <w:rFonts w:hint="eastAsia"/>
          <w:sz w:val="28"/>
          <w:szCs w:val="28"/>
        </w:rPr>
        <w:t xml:space="preserve"> </w:t>
      </w:r>
      <w:r>
        <w:rPr>
          <w:rFonts w:hint="eastAsia"/>
          <w:sz w:val="18"/>
          <w:szCs w:val="18"/>
        </w:rPr>
        <w:t>Light : 0-3; middle: 4-7; : heavy: 8-10.</w:t>
      </w:r>
    </w:p>
    <w:p>
      <w:pPr>
        <w:rPr>
          <w:sz w:val="18"/>
          <w:szCs w:val="18"/>
        </w:rPr>
      </w:pPr>
      <w:r>
        <w:rPr>
          <w:rFonts w:hint="eastAsia"/>
          <w:sz w:val="18"/>
          <w:szCs w:val="18"/>
        </w:rPr>
        <w:t>We collected information on age, gender, race, lung disease history, living environment, occupational exposure, and smoking history for probands and controls using a structured questionnaire. The living environment was supplemented by detailed questions on cooking practices, fuel use, housing characteristics, tobacco smoke exposure, and whether or not the subject lived in a polluted industrial zone. The selection of intensity was classified as never, light, and heavy based on the questionnaire</w:t>
      </w:r>
      <w:r>
        <w:rPr>
          <w:sz w:val="18"/>
          <w:szCs w:val="18"/>
        </w:rPr>
        <w:t xml:space="preserve"> </w:t>
      </w:r>
      <w:r>
        <w:rPr>
          <w:rFonts w:hint="eastAsia"/>
          <w:sz w:val="18"/>
          <w:szCs w:val="18"/>
        </w:rPr>
        <w:t xml:space="preserve">(Supplementary Table </w:t>
      </w:r>
      <w:r>
        <w:rPr>
          <w:rFonts w:hint="eastAsia"/>
          <w:sz w:val="18"/>
          <w:szCs w:val="18"/>
          <w:lang w:val="en-US" w:eastAsia="zh-CN"/>
        </w:rPr>
        <w:t>S</w:t>
      </w:r>
      <w:r>
        <w:rPr>
          <w:rFonts w:hint="eastAsia"/>
          <w:sz w:val="18"/>
          <w:szCs w:val="18"/>
        </w:rPr>
        <w:t>1). Lung diseases were defined as asthma, silicosis, lung abscesses, bronchiectasis, tuberculosis, pulmonary fibrosis, emphysema, and chronic bronchitis. The questions pertaining to occupational exposure included whether or not the subject usually had contact with dust, asbestos, radioactive materials, and volatile chemicals for each work period of at least 1 year. All jobs with no potential exposure to lung cancer carcinogens were excluded. Then, the name of the company, type of company, period, and information about what was being produced in the department was used, as the probability of exposure to some carcinogens differed between companies and between periods. Each job title, specified by period and company, was scored separately according to the probability of exposure to four carcinogens</w:t>
      </w:r>
      <w:r>
        <w:rPr>
          <w:sz w:val="18"/>
          <w:szCs w:val="18"/>
        </w:rPr>
        <w:t xml:space="preserve"> </w:t>
      </w:r>
      <w:r>
        <w:rPr>
          <w:rFonts w:hint="eastAsia"/>
          <w:sz w:val="18"/>
          <w:szCs w:val="18"/>
        </w:rPr>
        <w:t xml:space="preserve">(asbestos, paint dust, PAHs, and welding fumes, especially </w:t>
      </w:r>
      <w:r>
        <w:rPr>
          <w:sz w:val="18"/>
          <w:szCs w:val="18"/>
        </w:rPr>
        <w:t>stainless-steel</w:t>
      </w:r>
      <w:r>
        <w:rPr>
          <w:rFonts w:hint="eastAsia"/>
          <w:sz w:val="18"/>
          <w:szCs w:val="18"/>
        </w:rPr>
        <w:t xml:space="preserve"> welding). Three exposure categories were defined, as follows:</w:t>
      </w:r>
      <w:r>
        <w:rPr>
          <w:sz w:val="18"/>
          <w:szCs w:val="18"/>
        </w:rPr>
        <w:t xml:space="preserve"> </w:t>
      </w:r>
      <w:r>
        <w:rPr>
          <w:rFonts w:hint="eastAsia"/>
          <w:sz w:val="18"/>
          <w:szCs w:val="18"/>
        </w:rPr>
        <w:t>no exposure to the specific carcinogen;</w:t>
      </w:r>
      <w:r>
        <w:rPr>
          <w:sz w:val="18"/>
          <w:szCs w:val="18"/>
        </w:rPr>
        <w:t xml:space="preserve"> </w:t>
      </w:r>
      <w:r>
        <w:rPr>
          <w:rFonts w:hint="eastAsia"/>
          <w:sz w:val="18"/>
          <w:szCs w:val="18"/>
        </w:rPr>
        <w:t>possible exposure</w:t>
      </w:r>
      <w:r>
        <w:rPr>
          <w:sz w:val="18"/>
          <w:szCs w:val="18"/>
        </w:rPr>
        <w:t xml:space="preserve"> </w:t>
      </w:r>
      <w:r>
        <w:rPr>
          <w:rFonts w:hint="eastAsia"/>
          <w:sz w:val="18"/>
          <w:szCs w:val="18"/>
        </w:rPr>
        <w:t>(probability of exposure estimated to be</w:t>
      </w:r>
      <w:r>
        <w:rPr>
          <w:sz w:val="18"/>
          <w:szCs w:val="18"/>
        </w:rPr>
        <w:t xml:space="preserve"> </w:t>
      </w:r>
      <w:r>
        <w:rPr>
          <w:rFonts w:hint="eastAsia"/>
          <w:sz w:val="18"/>
          <w:szCs w:val="18"/>
        </w:rPr>
        <w:t>&lt;80%);and nearly certain exposure(probability of exposure</w:t>
      </w:r>
      <w:r>
        <w:rPr>
          <w:sz w:val="18"/>
          <w:szCs w:val="18"/>
        </w:rPr>
        <w:t xml:space="preserve"> </w:t>
      </w:r>
      <w:r>
        <w:rPr>
          <w:rFonts w:hint="eastAsia"/>
          <w:sz w:val="18"/>
          <w:szCs w:val="18"/>
        </w:rPr>
        <w:t>&gt;80%). We determined the living environment or occupational exposure as positive if any of the selections were considered heavy.</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240F4D"/>
    <w:rsid w:val="01240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2020-01-11T14:18:00Z</dcterms:created>
  <dc:creator>lenovo</dc:creator>
  <cp:lastModifiedBy>lenovo</cp:lastModifiedBy>
  <dcterms:modified xsi:type="dcterms:W3CDTF">2020-01-11T14:19:04Z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